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70" w:rsidRDefault="003C6770" w:rsidP="003C6770">
      <w:r>
        <w:t>Devin Hancock</w:t>
      </w:r>
    </w:p>
    <w:p w:rsidR="003C6770" w:rsidRDefault="008C47BE" w:rsidP="003C6770">
      <w:r>
        <w:t xml:space="preserve">Ashley </w:t>
      </w:r>
      <w:r w:rsidR="003C6770">
        <w:t>Argyle</w:t>
      </w:r>
    </w:p>
    <w:p w:rsidR="003C6770" w:rsidRDefault="003C6770" w:rsidP="003C6770">
      <w:r>
        <w:lastRenderedPageBreak/>
        <w:t>ENGL 2010</w:t>
      </w:r>
    </w:p>
    <w:p w:rsidR="003C6770" w:rsidRDefault="003C6770" w:rsidP="003C6770">
      <w:r>
        <w:t>07-04-14</w:t>
      </w:r>
    </w:p>
    <w:p w:rsidR="00483CC7" w:rsidRDefault="00483CC7" w:rsidP="003C6770">
      <w:pPr>
        <w:sectPr w:rsidR="00483CC7" w:rsidSect="00483CC7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C6770" w:rsidRPr="003C6770" w:rsidRDefault="003C6770" w:rsidP="003C6770"/>
    <w:p w:rsidR="00483CC7" w:rsidRPr="00A43D11" w:rsidRDefault="00D223E2" w:rsidP="00A43D11">
      <w:pPr>
        <w:pStyle w:val="Title"/>
        <w:rPr>
          <w:sz w:val="44"/>
          <w:szCs w:val="44"/>
        </w:rPr>
      </w:pPr>
      <w:r>
        <w:rPr>
          <w:sz w:val="44"/>
          <w:szCs w:val="44"/>
        </w:rPr>
        <w:t>E-</w:t>
      </w:r>
      <w:r w:rsidR="00F5190F" w:rsidRPr="00A43D11">
        <w:rPr>
          <w:sz w:val="44"/>
          <w:szCs w:val="44"/>
        </w:rPr>
        <w:t>Waste Material Build-Up</w:t>
      </w:r>
      <w:r w:rsidR="00A50630" w:rsidRPr="00A43D11">
        <w:rPr>
          <w:sz w:val="44"/>
          <w:szCs w:val="44"/>
        </w:rPr>
        <w:t>: What is being done?</w:t>
      </w:r>
    </w:p>
    <w:p w:rsidR="00D91867" w:rsidRPr="007F75D4" w:rsidRDefault="00F9405A" w:rsidP="00480F73">
      <w:pPr>
        <w:spacing w:line="480" w:lineRule="auto"/>
        <w:rPr>
          <w:b/>
          <w:sz w:val="28"/>
          <w:szCs w:val="28"/>
        </w:rPr>
        <w:sectPr w:rsidR="00D91867" w:rsidRPr="007F75D4" w:rsidSect="00483CC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F75D4">
        <w:rPr>
          <w:b/>
          <w:sz w:val="28"/>
          <w:szCs w:val="28"/>
        </w:rPr>
        <w:t xml:space="preserve">I </w:t>
      </w:r>
      <w:r w:rsidR="00D91867" w:rsidRPr="007F75D4">
        <w:rPr>
          <w:b/>
          <w:sz w:val="28"/>
          <w:szCs w:val="28"/>
        </w:rPr>
        <w:t>Introduction</w:t>
      </w:r>
    </w:p>
    <w:p w:rsidR="003773FF" w:rsidRDefault="00D91867" w:rsidP="00A50630">
      <w:pPr>
        <w:spacing w:line="480" w:lineRule="auto"/>
      </w:pPr>
      <w:r>
        <w:lastRenderedPageBreak/>
        <w:tab/>
      </w:r>
      <w:r w:rsidR="00A50630">
        <w:t>E-waste</w:t>
      </w:r>
      <w:r w:rsidR="007C6233">
        <w:t xml:space="preserve"> (</w:t>
      </w:r>
      <w:r w:rsidR="00597E9B">
        <w:t>Electronic Waste)</w:t>
      </w:r>
      <w:r w:rsidR="00E20654" w:rsidRPr="00E20654">
        <w:t xml:space="preserve"> </w:t>
      </w:r>
      <w:r w:rsidR="00107B7B">
        <w:t>is defined as</w:t>
      </w:r>
      <w:r w:rsidR="00E20654" w:rsidRPr="00E20654">
        <w:t xml:space="preserve"> used electronics which are destined for reuse, resale, salvage, recycling, or disposal. </w:t>
      </w:r>
      <w:r w:rsidR="007C6233">
        <w:t xml:space="preserve"> </w:t>
      </w:r>
      <w:r w:rsidR="00382C41">
        <w:t xml:space="preserve"> This </w:t>
      </w:r>
      <w:r w:rsidR="00F232C5">
        <w:t>includes such</w:t>
      </w:r>
      <w:r w:rsidR="00382C41">
        <w:t xml:space="preserve"> things</w:t>
      </w:r>
      <w:r w:rsidR="005558FA" w:rsidRPr="005558FA">
        <w:t xml:space="preserve"> as discarded computers, office electronic equipment, entertainment device electronics, mobile phones, television sets, and refrigerators.  </w:t>
      </w:r>
      <w:r w:rsidR="005B529D">
        <w:t>Electronic waste</w:t>
      </w:r>
      <w:r w:rsidR="00597E9B">
        <w:t xml:space="preserve"> </w:t>
      </w:r>
      <w:r w:rsidR="003B0843">
        <w:t xml:space="preserve">is </w:t>
      </w:r>
      <w:r w:rsidR="00A50630">
        <w:t>definitely one of several major problems that exist in our world today, and many people are uninformed of what is being done to recycle these materials</w:t>
      </w:r>
      <w:r w:rsidR="00FF3995">
        <w:t>.</w:t>
      </w:r>
      <w:r w:rsidR="00274C23">
        <w:t xml:space="preserve"> People</w:t>
      </w:r>
      <w:r w:rsidR="00FF3995">
        <w:t xml:space="preserve"> and </w:t>
      </w:r>
      <w:r w:rsidR="000A7EAD">
        <w:t>bus</w:t>
      </w:r>
      <w:r w:rsidR="00BD0E3E">
        <w:t>inesses</w:t>
      </w:r>
      <w:r w:rsidR="00274C23">
        <w:t xml:space="preserve"> ought </w:t>
      </w:r>
      <w:r w:rsidR="00F232C5">
        <w:t>to be</w:t>
      </w:r>
      <w:r w:rsidR="00FF3995">
        <w:t xml:space="preserve"> aware of</w:t>
      </w:r>
      <w:r w:rsidR="003B0843">
        <w:t xml:space="preserve"> how</w:t>
      </w:r>
      <w:r w:rsidR="00FF3995">
        <w:t xml:space="preserve"> this type of waste is affecting us as a whole</w:t>
      </w:r>
      <w:r w:rsidR="00F232C5">
        <w:t>, instead</w:t>
      </w:r>
      <w:r w:rsidR="003B0843">
        <w:t xml:space="preserve"> of only throwing the objects into the trash</w:t>
      </w:r>
      <w:r w:rsidR="00A50630">
        <w:t>.</w:t>
      </w:r>
    </w:p>
    <w:p w:rsidR="00F5190F" w:rsidRDefault="00A50630" w:rsidP="00A50630">
      <w:pPr>
        <w:spacing w:line="480" w:lineRule="auto"/>
      </w:pPr>
      <w:r>
        <w:t>What</w:t>
      </w:r>
      <w:bookmarkStart w:id="0" w:name="_GoBack"/>
      <w:bookmarkEnd w:id="0"/>
      <w:r w:rsidR="00FD18D1">
        <w:t xml:space="preserve"> do </w:t>
      </w:r>
      <w:r w:rsidR="00F232C5">
        <w:t>you know about</w:t>
      </w:r>
      <w:r w:rsidR="00682A20">
        <w:t xml:space="preserve"> what</w:t>
      </w:r>
      <w:r w:rsidR="00DC56FA">
        <w:t xml:space="preserve"> is</w:t>
      </w:r>
      <w:r>
        <w:t xml:space="preserve"> done</w:t>
      </w:r>
      <w:r w:rsidR="00FD18D1">
        <w:t xml:space="preserve"> </w:t>
      </w:r>
      <w:r w:rsidR="00DC56FA">
        <w:t>when</w:t>
      </w:r>
      <w:r>
        <w:t xml:space="preserve"> </w:t>
      </w:r>
      <w:r w:rsidR="00F232C5">
        <w:t>using an</w:t>
      </w:r>
      <w:r>
        <w:t xml:space="preserve"> electronic device and in a short few </w:t>
      </w:r>
      <w:r>
        <w:lastRenderedPageBreak/>
        <w:t>months discard</w:t>
      </w:r>
      <w:r w:rsidR="002E4167">
        <w:t>ing</w:t>
      </w:r>
      <w:r>
        <w:t xml:space="preserve"> it</w:t>
      </w:r>
      <w:r w:rsidR="002E4167">
        <w:t>,</w:t>
      </w:r>
      <w:r>
        <w:t xml:space="preserve"> as if it means nothing? Where does it go and </w:t>
      </w:r>
      <w:r w:rsidR="00596673">
        <w:t>how can we be safe about it? The</w:t>
      </w:r>
      <w:r>
        <w:t>s</w:t>
      </w:r>
      <w:r w:rsidR="00596673">
        <w:t>e are the things that</w:t>
      </w:r>
      <w:r>
        <w:t xml:space="preserve"> I would like to discuss</w:t>
      </w:r>
      <w:r w:rsidR="00596673">
        <w:t xml:space="preserve"> and the questions I hope to an</w:t>
      </w:r>
      <w:r w:rsidR="004F7390">
        <w:t>s</w:t>
      </w:r>
      <w:r w:rsidR="00596673">
        <w:t>wer</w:t>
      </w:r>
      <w:r>
        <w:t xml:space="preserve">; </w:t>
      </w:r>
      <w:r w:rsidR="009248DE">
        <w:t xml:space="preserve">obviously </w:t>
      </w:r>
      <w:r w:rsidR="00B868C2">
        <w:t>we can’t keep throwing our waste</w:t>
      </w:r>
      <w:r>
        <w:t xml:space="preserve"> in piles, let</w:t>
      </w:r>
      <w:r w:rsidR="00DB05F9">
        <w:t>ting</w:t>
      </w:r>
      <w:r>
        <w:t xml:space="preserve"> it sit and rot, otherwise it will build until it covers us completely. E-waste is also a different process of recycling than the usual</w:t>
      </w:r>
      <w:r w:rsidR="00C11598">
        <w:t xml:space="preserve"> recyclables</w:t>
      </w:r>
      <w:r>
        <w:t xml:space="preserve"> we </w:t>
      </w:r>
      <w:r w:rsidR="00C11598">
        <w:t xml:space="preserve">use and </w:t>
      </w:r>
      <w:r>
        <w:t>throw out</w:t>
      </w:r>
      <w:r w:rsidR="00C11598">
        <w:t xml:space="preserve"> daily</w:t>
      </w:r>
      <w:r>
        <w:t xml:space="preserve"> such as plastic, glass, paper, etc.</w:t>
      </w:r>
      <w:r w:rsidR="00AF17A2">
        <w:t xml:space="preserve"> As was stated in an online article written</w:t>
      </w:r>
      <w:r w:rsidR="001A500F">
        <w:t xml:space="preserve"> by</w:t>
      </w:r>
      <w:r w:rsidR="00AF17A2">
        <w:t xml:space="preserve"> Dian Schaffhauser, e-waste recycling is different than normal waste in the aspect that it is</w:t>
      </w:r>
      <w:r w:rsidR="00A74703">
        <w:t xml:space="preserve"> “</w:t>
      </w:r>
      <w:r w:rsidR="00433CF8">
        <w:t>’</w:t>
      </w:r>
      <w:r w:rsidR="00A74703">
        <w:t>…Breaking something down to the component level</w:t>
      </w:r>
      <w:r w:rsidR="00433CF8">
        <w:t>’</w:t>
      </w:r>
      <w:r w:rsidR="00A74703">
        <w:t>…Recycling</w:t>
      </w:r>
      <w:r w:rsidR="00AF17A2">
        <w:t xml:space="preserve"> [electronics]</w:t>
      </w:r>
      <w:r w:rsidR="00A74703">
        <w:t xml:space="preserve"> means breaking apart a piece of equipment to recover its plastic, glass, metals, and other </w:t>
      </w:r>
      <w:r w:rsidR="00A74703">
        <w:lastRenderedPageBreak/>
        <w:t>elements”</w:t>
      </w:r>
      <w:r w:rsidR="000351ED">
        <w:t xml:space="preserve"> (</w:t>
      </w:r>
      <w:r w:rsidR="0056411D">
        <w:t>5)</w:t>
      </w:r>
      <w:r w:rsidR="004F1CBA">
        <w:t>.</w:t>
      </w:r>
      <w:r w:rsidR="00570D95">
        <w:t xml:space="preserve"> This is because e-waste consist</w:t>
      </w:r>
      <w:r>
        <w:t>s</w:t>
      </w:r>
      <w:r w:rsidR="00133E85">
        <w:t xml:space="preserve"> </w:t>
      </w:r>
      <w:r w:rsidR="00CA19F7">
        <w:t xml:space="preserve">of </w:t>
      </w:r>
      <w:r w:rsidR="00570D95">
        <w:t>technological equipment and contains</w:t>
      </w:r>
      <w:r>
        <w:t xml:space="preserve"> </w:t>
      </w:r>
      <w:r w:rsidR="00F9405A">
        <w:t>harmful elements</w:t>
      </w:r>
      <w:r w:rsidR="00570D95">
        <w:t xml:space="preserve"> like</w:t>
      </w:r>
      <w:r>
        <w:t xml:space="preserve"> mercury and cadmium</w:t>
      </w:r>
      <w:r w:rsidR="00C11598">
        <w:t>;</w:t>
      </w:r>
      <w:r w:rsidR="00F9405A">
        <w:t xml:space="preserve"> these</w:t>
      </w:r>
      <w:r>
        <w:t xml:space="preserve"> can be absorbed int</w:t>
      </w:r>
      <w:r w:rsidR="00F9405A">
        <w:t>o the soil and eventually make their</w:t>
      </w:r>
      <w:r>
        <w:t xml:space="preserve"> way into the local water</w:t>
      </w:r>
      <w:r w:rsidR="00BE05FE">
        <w:t xml:space="preserve"> supply</w:t>
      </w:r>
      <w:r w:rsidR="00065B74">
        <w:t>,</w:t>
      </w:r>
      <w:r>
        <w:t xml:space="preserve"> where it is disposed and </w:t>
      </w:r>
      <w:r w:rsidR="00BE05FE">
        <w:t xml:space="preserve">can </w:t>
      </w:r>
      <w:r w:rsidR="00F232C5">
        <w:t>poison possible</w:t>
      </w:r>
      <w:r w:rsidR="00BE05FE">
        <w:t xml:space="preserve"> consumers by seeping into the water and food.</w:t>
      </w:r>
      <w:r>
        <w:t xml:space="preserve"> </w:t>
      </w:r>
      <w:r w:rsidR="00842D67">
        <w:t xml:space="preserve">These are just some reasons why it is important to </w:t>
      </w:r>
      <w:r w:rsidR="00A54552">
        <w:t xml:space="preserve">effectively dispose </w:t>
      </w:r>
      <w:r w:rsidR="00842D67">
        <w:t xml:space="preserve"> of these frequently throw</w:t>
      </w:r>
      <w:r w:rsidR="00F9405A">
        <w:t>n</w:t>
      </w:r>
      <w:r w:rsidR="00842D67">
        <w:t xml:space="preserve"> away ‘commodities,’ in a way that keeps them useful several times over and eliminates the potential of build-up which can have consequences for living things and the earth we inhabit.</w:t>
      </w:r>
    </w:p>
    <w:p w:rsidR="00AE59AE" w:rsidRDefault="00234611" w:rsidP="00A50630">
      <w:pPr>
        <w:spacing w:line="480" w:lineRule="auto"/>
      </w:pPr>
      <w:r>
        <w:tab/>
        <w:t>In the last few decades, the development of increasingly intricate electronic devices has grown incredibly</w:t>
      </w:r>
      <w:r w:rsidR="00F9405A">
        <w:t>. Therefore</w:t>
      </w:r>
      <w:r w:rsidR="000B3B1E">
        <w:t>,</w:t>
      </w:r>
      <w:r w:rsidR="00512882">
        <w:t xml:space="preserve"> because each individual wants the next best thing,</w:t>
      </w:r>
      <w:r w:rsidR="00F9405A">
        <w:t xml:space="preserve"> it i</w:t>
      </w:r>
      <w:r w:rsidR="00512882">
        <w:t xml:space="preserve">s often seen that </w:t>
      </w:r>
      <w:r w:rsidR="00F232C5">
        <w:t>we toss</w:t>
      </w:r>
      <w:r w:rsidR="00822A4A">
        <w:t xml:space="preserve"> out</w:t>
      </w:r>
      <w:r w:rsidR="00512882">
        <w:t xml:space="preserve"> the old</w:t>
      </w:r>
      <w:r w:rsidR="00F9405A">
        <w:t xml:space="preserve"> </w:t>
      </w:r>
      <w:r w:rsidR="006A05D2">
        <w:rPr>
          <w:noProof/>
        </w:rPr>
        <w:drawing>
          <wp:anchor distT="0" distB="0" distL="114300" distR="114300" simplePos="0" relativeHeight="251658240" behindDoc="1" locked="0" layoutInCell="1" allowOverlap="1" wp14:anchorId="312DCE6F" wp14:editId="45554B1F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3819525" cy="3009900"/>
            <wp:effectExtent l="57150" t="76200" r="142875" b="9525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05A">
        <w:t>very frequent</w:t>
      </w:r>
      <w:r w:rsidR="00512882">
        <w:t>ly without thought of where it</w:t>
      </w:r>
      <w:r w:rsidR="00F9405A">
        <w:t xml:space="preserve"> go</w:t>
      </w:r>
      <w:r w:rsidR="00512882">
        <w:t xml:space="preserve">es, which can be </w:t>
      </w:r>
      <w:r w:rsidR="00F232C5">
        <w:t>detrimental considering</w:t>
      </w:r>
      <w:r w:rsidR="00F9405A">
        <w:t xml:space="preserve"> how much is thrown out. For </w:t>
      </w:r>
      <w:r w:rsidR="00A85507">
        <w:t xml:space="preserve"> a more meaningful perspective</w:t>
      </w:r>
      <w:r w:rsidR="00F9405A">
        <w:t xml:space="preserve">, take a look at </w:t>
      </w:r>
      <w:r w:rsidR="00F9405A" w:rsidRPr="00EF651F">
        <w:rPr>
          <w:b/>
        </w:rPr>
        <w:t>Figure 1.1</w:t>
      </w:r>
      <w:r w:rsidR="00A5039F">
        <w:t>,</w:t>
      </w:r>
      <w:r w:rsidR="00132DF5">
        <w:t xml:space="preserve"> </w:t>
      </w:r>
      <w:r w:rsidR="00AD5D02">
        <w:t>t</w:t>
      </w:r>
      <w:r w:rsidR="00266840">
        <w:t xml:space="preserve">aken from the U.S. Environmental Protection Agency’s website </w:t>
      </w:r>
      <w:r w:rsidR="00132DF5">
        <w:t>(</w:t>
      </w:r>
      <w:r w:rsidR="00B43C42">
        <w:t>Statistics)</w:t>
      </w:r>
      <w:r w:rsidR="005B215E">
        <w:t xml:space="preserve">; </w:t>
      </w:r>
      <w:r w:rsidR="00A70E94">
        <w:t>t</w:t>
      </w:r>
      <w:r w:rsidR="0019278E">
        <w:t>he</w:t>
      </w:r>
      <w:r w:rsidR="0055526D">
        <w:t xml:space="preserve"> above</w:t>
      </w:r>
      <w:r w:rsidR="00EF651F">
        <w:t xml:space="preserve"> graph is an estimation of </w:t>
      </w:r>
      <w:r w:rsidR="00207C63">
        <w:t xml:space="preserve">the number of </w:t>
      </w:r>
      <w:r w:rsidR="00EF651F">
        <w:t>electronics</w:t>
      </w:r>
      <w:r w:rsidR="0019278E">
        <w:t xml:space="preserve"> recycled in 2009</w:t>
      </w:r>
      <w:r w:rsidR="00A223F9">
        <w:t xml:space="preserve"> at the end of their life cycle</w:t>
      </w:r>
      <w:r w:rsidR="00F9405A">
        <w:t>.</w:t>
      </w:r>
      <w:r w:rsidR="0055526D" w:rsidRPr="0055526D">
        <w:t xml:space="preserve"> 25% of </w:t>
      </w:r>
      <w:r w:rsidR="00282C04">
        <w:t xml:space="preserve">overall </w:t>
      </w:r>
      <w:r w:rsidR="0055526D" w:rsidRPr="0055526D">
        <w:t>electronics were collected for recycling</w:t>
      </w:r>
      <w:r w:rsidR="00282C04">
        <w:t xml:space="preserve">, including such </w:t>
      </w:r>
      <w:r w:rsidR="00282C04">
        <w:lastRenderedPageBreak/>
        <w:t>things as cell phones, laptops, desktops, monitors, TV’s, screens, etc</w:t>
      </w:r>
      <w:r w:rsidR="0055526D">
        <w:t>.</w:t>
      </w:r>
      <w:r w:rsidR="00A74703">
        <w:t xml:space="preserve"> </w:t>
      </w:r>
      <w:r w:rsidR="009D0A19">
        <w:t>Although twenty-five percent may seem like a big number</w:t>
      </w:r>
      <w:r w:rsidR="00F90012">
        <w:t>,</w:t>
      </w:r>
      <w:r w:rsidR="009D0A19">
        <w:t xml:space="preserve"> consider that out of the 27.2 million units disposed of in 2009 only 4.6 million units were</w:t>
      </w:r>
      <w:r w:rsidR="00DF2031">
        <w:t xml:space="preserve"> collected for recycling</w:t>
      </w:r>
      <w:r w:rsidR="00C863B5">
        <w:t>,</w:t>
      </w:r>
      <w:r w:rsidR="00E66F67">
        <w:t xml:space="preserve"> in comparison to</w:t>
      </w:r>
      <w:r w:rsidR="00177E72">
        <w:t xml:space="preserve"> a number</w:t>
      </w:r>
      <w:r w:rsidR="009D0A19">
        <w:t xml:space="preserve"> of 22.6 million units not be</w:t>
      </w:r>
      <w:r w:rsidR="008816DA">
        <w:t>ing</w:t>
      </w:r>
      <w:r w:rsidR="009D0A19">
        <w:t xml:space="preserve"> recycled!</w:t>
      </w:r>
    </w:p>
    <w:p w:rsidR="007F75D4" w:rsidRDefault="007F75D4" w:rsidP="00A50630">
      <w:pPr>
        <w:spacing w:line="480" w:lineRule="auto"/>
        <w:rPr>
          <w:b/>
          <w:sz w:val="28"/>
          <w:szCs w:val="28"/>
        </w:rPr>
      </w:pPr>
      <w:r w:rsidRPr="007F75D4">
        <w:rPr>
          <w:b/>
          <w:sz w:val="28"/>
          <w:szCs w:val="28"/>
        </w:rPr>
        <w:t>II Method</w:t>
      </w:r>
    </w:p>
    <w:p w:rsidR="00F34A5F" w:rsidRDefault="007F75D4" w:rsidP="00A50630">
      <w:pPr>
        <w:spacing w:line="480" w:lineRule="auto"/>
      </w:pPr>
      <w:r>
        <w:rPr>
          <w:b/>
          <w:sz w:val="28"/>
          <w:szCs w:val="28"/>
        </w:rPr>
        <w:tab/>
      </w:r>
      <w:r w:rsidR="00F34A5F">
        <w:t>E-waste is not just a problem in the United States, more than approximately 40 million tons of e-waste is generated</w:t>
      </w:r>
      <w:r w:rsidR="006B2C6C">
        <w:t xml:space="preserve"> around the world</w:t>
      </w:r>
      <w:r w:rsidR="00E976C0">
        <w:t xml:space="preserve"> (Leigh</w:t>
      </w:r>
      <w:r w:rsidR="00AE1740">
        <w:t>, p. 1</w:t>
      </w:r>
      <w:r w:rsidR="00E976C0">
        <w:t>)</w:t>
      </w:r>
      <w:r w:rsidR="00F34A5F">
        <w:t xml:space="preserve">. The Basel Action Network (BAN) and other organizations have tracked how dumping of this waste can result in illegal and harmful consequences. </w:t>
      </w:r>
      <w:r w:rsidR="00175F49">
        <w:t xml:space="preserve">These discarded electronics pose a serious threat to humans and cause environmental risk when at the end of their useful life. </w:t>
      </w:r>
      <w:r w:rsidR="00011053">
        <w:t>All the plastics, metals, and other hazardous materials are toxic when burned, crushed, left in landfills, or comingle with other waste.</w:t>
      </w:r>
      <w:r w:rsidR="00E211AC">
        <w:t xml:space="preserve"> However,</w:t>
      </w:r>
      <w:r w:rsidR="008E76E0">
        <w:t xml:space="preserve"> </w:t>
      </w:r>
      <w:r w:rsidR="00E211AC">
        <w:t>n</w:t>
      </w:r>
      <w:r w:rsidR="00D905DE">
        <w:t xml:space="preserve">ot all exported e-waste is </w:t>
      </w:r>
      <w:r w:rsidR="00D905DE">
        <w:lastRenderedPageBreak/>
        <w:t xml:space="preserve">unsafe, working electronics can be sold or donated to businesses or consumers in developing countries; though not reusing or recycling these materials does pose a problem in the sense that there are environmental costs in transporting them as well as lost opportunities </w:t>
      </w:r>
      <w:r w:rsidR="00744277">
        <w:t>for local economic development.</w:t>
      </w:r>
    </w:p>
    <w:p w:rsidR="00744277" w:rsidRDefault="00744277" w:rsidP="00A50630">
      <w:pPr>
        <w:spacing w:line="480" w:lineRule="auto"/>
      </w:pPr>
      <w:r w:rsidRPr="00744277">
        <w:rPr>
          <w:b/>
        </w:rPr>
        <w:t xml:space="preserve">1 </w:t>
      </w:r>
      <w:r>
        <w:rPr>
          <w:b/>
        </w:rPr>
        <w:t>Challenges and Opportunities i</w:t>
      </w:r>
      <w:r w:rsidRPr="00744277">
        <w:rPr>
          <w:b/>
        </w:rPr>
        <w:t xml:space="preserve">n the U.S.: </w:t>
      </w:r>
      <w:r>
        <w:t xml:space="preserve">Constantly Americans are </w:t>
      </w:r>
      <w:r w:rsidR="00BB3F63">
        <w:t>buying new products and throwing away old ones—</w:t>
      </w:r>
      <w:r w:rsidR="005F478F">
        <w:t xml:space="preserve">according to </w:t>
      </w:r>
      <w:r w:rsidR="008769EE">
        <w:t xml:space="preserve">Doctor </w:t>
      </w:r>
      <w:r w:rsidR="00BD02FD">
        <w:t xml:space="preserve">Nancey Green </w:t>
      </w:r>
      <w:r w:rsidR="005F478F">
        <w:t>Leigh--</w:t>
      </w:r>
      <w:r w:rsidR="00BB3F63">
        <w:t>an estimated four hundred million per year</w:t>
      </w:r>
      <w:r w:rsidR="005F478F">
        <w:t xml:space="preserve"> </w:t>
      </w:r>
      <w:r w:rsidR="008769EE">
        <w:t>(</w:t>
      </w:r>
      <w:r w:rsidR="005F478F">
        <w:t>4).</w:t>
      </w:r>
      <w:r w:rsidR="00BB3F63">
        <w:t xml:space="preserve"> </w:t>
      </w:r>
      <w:r w:rsidR="00A1764A">
        <w:t>The number of consumer electronics in the common U.S. house is increasing drastically and for that increase in buying</w:t>
      </w:r>
      <w:r w:rsidR="00144195">
        <w:t>,</w:t>
      </w:r>
      <w:r w:rsidR="00A1764A">
        <w:t xml:space="preserve"> there is</w:t>
      </w:r>
      <w:r w:rsidR="00F7607D">
        <w:t xml:space="preserve"> an increase in discarding. </w:t>
      </w:r>
      <w:r w:rsidR="00A1764A">
        <w:t xml:space="preserve"> Leigh, Choi, and Hoelzel</w:t>
      </w:r>
      <w:r w:rsidR="0038560B">
        <w:t xml:space="preserve"> state,</w:t>
      </w:r>
      <w:r w:rsidR="00A1764A">
        <w:t xml:space="preserve"> </w:t>
      </w:r>
      <w:r w:rsidR="00CF3D0D">
        <w:t xml:space="preserve">“The average U.S. household owned twenty-five consumer electronics in 2010, which is a </w:t>
      </w:r>
      <w:r w:rsidR="00745A13">
        <w:t>9% increase from the prior year</w:t>
      </w:r>
      <w:r w:rsidR="00CF3D0D">
        <w:t>” (Leigh,</w:t>
      </w:r>
      <w:r w:rsidR="00B6044E">
        <w:t xml:space="preserve"> 5</w:t>
      </w:r>
      <w:r w:rsidR="00CF3D0D">
        <w:t>)</w:t>
      </w:r>
      <w:r w:rsidR="00745A13">
        <w:t xml:space="preserve">. </w:t>
      </w:r>
      <w:r w:rsidR="00D97D84">
        <w:t>Over 80% of the recy</w:t>
      </w:r>
      <w:r w:rsidR="009E1E45">
        <w:t xml:space="preserve">clables collected in the U.S. are exported; to the contrary, these materials </w:t>
      </w:r>
      <w:r w:rsidR="009E1E45">
        <w:lastRenderedPageBreak/>
        <w:t>could be kept here and used to create jobs</w:t>
      </w:r>
      <w:r w:rsidR="000F3F57">
        <w:t xml:space="preserve"> in order to</w:t>
      </w:r>
      <w:r w:rsidR="009E1E45">
        <w:t xml:space="preserve"> maintain usage of the electronics by refurbishing, reusing, and recycling them. </w:t>
      </w:r>
      <w:r w:rsidR="00A00953">
        <w:t xml:space="preserve">It is known that a portion of exported waste is scavenged in developing countries by rural, low-income workers in a way that is unsafe to humans and the environment. </w:t>
      </w:r>
      <w:r w:rsidR="00910C1A">
        <w:t xml:space="preserve">One possible way to change </w:t>
      </w:r>
      <w:r w:rsidR="00F232C5">
        <w:t>the world would be</w:t>
      </w:r>
      <w:r w:rsidR="00A57F1D">
        <w:t xml:space="preserve"> to develop a more sustainable e-waste management industry and reduce exportation which contributes to the </w:t>
      </w:r>
      <w:r w:rsidR="00910C1A">
        <w:t xml:space="preserve">not necessarily </w:t>
      </w:r>
      <w:r w:rsidR="00F232C5">
        <w:t>needed recycling</w:t>
      </w:r>
      <w:r w:rsidR="00A57F1D">
        <w:t xml:space="preserve"> </w:t>
      </w:r>
      <w:r w:rsidR="00CF47D3">
        <w:t>&amp; exportation to</w:t>
      </w:r>
      <w:r w:rsidR="00A57F1D">
        <w:t xml:space="preserve"> developing countries.</w:t>
      </w:r>
    </w:p>
    <w:p w:rsidR="001C507A" w:rsidRDefault="001C507A" w:rsidP="00A50630">
      <w:pPr>
        <w:spacing w:line="480" w:lineRule="auto"/>
      </w:pPr>
      <w:r>
        <w:rPr>
          <w:b/>
        </w:rPr>
        <w:t>III Results</w:t>
      </w:r>
    </w:p>
    <w:p w:rsidR="005A382B" w:rsidRDefault="00974A7C" w:rsidP="00A50630">
      <w:pPr>
        <w:spacing w:line="480" w:lineRule="auto"/>
      </w:pPr>
      <w:r>
        <w:tab/>
      </w:r>
      <w:r w:rsidR="004821CA">
        <w:t>The Resource Conservation and Recovery Act (RCRA), requires that exportati</w:t>
      </w:r>
      <w:r w:rsidR="006B2C6C">
        <w:t>on of cathode ray tubes (CRTs)</w:t>
      </w:r>
      <w:r w:rsidR="004821CA">
        <w:t xml:space="preserve"> be reported to the EPA and receive authority</w:t>
      </w:r>
      <w:r w:rsidR="00F27F61">
        <w:t xml:space="preserve"> in order to dispose of the hazardous material</w:t>
      </w:r>
      <w:r w:rsidR="004821CA">
        <w:t xml:space="preserve">; Items containing mercury are considered hazardous by the RCRA but the EPA does </w:t>
      </w:r>
      <w:r w:rsidR="006B2C6C">
        <w:t>not possess</w:t>
      </w:r>
      <w:r w:rsidR="004821CA">
        <w:t xml:space="preserve"> authority to prohibit the disposal of the electronics in small amounts taken </w:t>
      </w:r>
      <w:r w:rsidR="004821CA">
        <w:lastRenderedPageBreak/>
        <w:t xml:space="preserve">from households and individuals or businesses into landfills. </w:t>
      </w:r>
      <w:r w:rsidR="00654D3F">
        <w:t>Between 2003 and 2011, as many as 25 states</w:t>
      </w:r>
      <w:r w:rsidR="006B2C6C">
        <w:t>,</w:t>
      </w:r>
      <w:r w:rsidR="00885E1D">
        <w:t xml:space="preserve"> nearly</w:t>
      </w:r>
      <w:r w:rsidR="00DE1892">
        <w:t xml:space="preserve"> 65% of the U.S. population</w:t>
      </w:r>
      <w:r w:rsidR="00654D3F">
        <w:t xml:space="preserve"> have adopted some sort of </w:t>
      </w:r>
      <w:r w:rsidR="00DE1892">
        <w:t xml:space="preserve">e-waste </w:t>
      </w:r>
      <w:r w:rsidR="00654D3F">
        <w:t>recycling law. The most common of those being the extended producer responsibility or EPR, which requires</w:t>
      </w:r>
      <w:r w:rsidR="00173440">
        <w:t xml:space="preserve"> that</w:t>
      </w:r>
      <w:r w:rsidR="00654D3F">
        <w:t xml:space="preserve"> original equipment manufacturers (OEM</w:t>
      </w:r>
      <w:r w:rsidR="00173440">
        <w:t>s)  be financially responsible for the recycling of</w:t>
      </w:r>
      <w:r w:rsidR="00654D3F">
        <w:t xml:space="preserve"> their products; this statute was set in place to get them to better make their products so that it would reduce the difficulty and costs for disassembling and managing e-waste.</w:t>
      </w:r>
      <w:r w:rsidR="008D67FA">
        <w:t xml:space="preserve"> </w:t>
      </w:r>
      <w:r w:rsidR="00F8328F">
        <w:t>Due to these few things, these states with</w:t>
      </w:r>
      <w:r w:rsidR="008D67FA">
        <w:t xml:space="preserve"> recycling laws have collected tens o</w:t>
      </w:r>
      <w:r w:rsidR="005A382B">
        <w:t>f thousands of tons of e-waste.</w:t>
      </w:r>
    </w:p>
    <w:p w:rsidR="006969C6" w:rsidRDefault="005A382B" w:rsidP="00A50630">
      <w:pPr>
        <w:spacing w:line="480" w:lineRule="auto"/>
      </w:pPr>
      <w:r>
        <w:tab/>
        <w:t xml:space="preserve">On another note, the need for e-waste recycling has done some good for the economy as well. As has been reported by the International Data Corporation </w:t>
      </w:r>
      <w:r w:rsidR="00F10B28">
        <w:t>it is</w:t>
      </w:r>
      <w:r>
        <w:t xml:space="preserve"> estimated that there are approximately 600 to 1,000 companies that employ at least 30,000 workers and with their combined </w:t>
      </w:r>
      <w:r>
        <w:lastRenderedPageBreak/>
        <w:t>efforts, generate more than 5 billion dollars in revenue</w:t>
      </w:r>
      <w:r w:rsidR="00F10B28">
        <w:t xml:space="preserve"> per year</w:t>
      </w:r>
      <w:r w:rsidR="00BF13D0">
        <w:t xml:space="preserve"> </w:t>
      </w:r>
      <w:r w:rsidR="00BF13D0" w:rsidRPr="00BF13D0">
        <w:t>(Leigh, N. G.)</w:t>
      </w:r>
      <w:r w:rsidR="00BF13D0">
        <w:t>.</w:t>
      </w:r>
      <w:r w:rsidR="005E59F7">
        <w:t xml:space="preserve"> This is surely something that is multi-purposed in ways that are beneficial as a whole to the earth and on a smaller scale, creating employment opportunity which may grow even more in the future.</w:t>
      </w:r>
    </w:p>
    <w:p w:rsidR="00EC0BE8" w:rsidRDefault="00EC0BE8" w:rsidP="00A50630">
      <w:pPr>
        <w:spacing w:line="480" w:lineRule="auto"/>
        <w:rPr>
          <w:b/>
          <w:sz w:val="28"/>
          <w:szCs w:val="28"/>
        </w:rPr>
      </w:pPr>
    </w:p>
    <w:p w:rsidR="006969C6" w:rsidRDefault="00DF355D" w:rsidP="00A50630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>IV Conclusion</w:t>
      </w:r>
    </w:p>
    <w:p w:rsidR="00F9405A" w:rsidRDefault="006969C6" w:rsidP="00A50630">
      <w:pPr>
        <w:spacing w:line="480" w:lineRule="auto"/>
      </w:pPr>
      <w:r>
        <w:rPr>
          <w:sz w:val="28"/>
          <w:szCs w:val="28"/>
        </w:rPr>
        <w:tab/>
      </w:r>
      <w:r w:rsidR="00DF355D">
        <w:t xml:space="preserve">In conclusion, </w:t>
      </w:r>
      <w:r w:rsidR="00B64B74">
        <w:t>recycling</w:t>
      </w:r>
      <w:r w:rsidR="00403BA2">
        <w:t xml:space="preserve"> is a fairly new practice that has been an idea for a long time considering how much </w:t>
      </w:r>
      <w:r w:rsidR="00DB1733">
        <w:t xml:space="preserve">waste </w:t>
      </w:r>
      <w:r w:rsidR="00403BA2">
        <w:t>we as humans put into the world</w:t>
      </w:r>
      <w:r w:rsidR="00DB1733">
        <w:t>, yet has not been acted upon until recently</w:t>
      </w:r>
      <w:r w:rsidR="00403BA2">
        <w:t>.</w:t>
      </w:r>
      <w:r w:rsidR="00B64B74">
        <w:t xml:space="preserve"> </w:t>
      </w:r>
      <w:r w:rsidR="00DB1733">
        <w:t>Much of U.S. e-waste that is dumped is</w:t>
      </w:r>
      <w:r w:rsidR="004C5D08">
        <w:t xml:space="preserve"> mainly</w:t>
      </w:r>
      <w:r w:rsidR="00DB1733">
        <w:t xml:space="preserve"> exported out of the U.S. to</w:t>
      </w:r>
      <w:r w:rsidR="004C5D08">
        <w:t xml:space="preserve"> China or</w:t>
      </w:r>
      <w:r w:rsidR="00DB1733">
        <w:t xml:space="preserve"> </w:t>
      </w:r>
      <w:r w:rsidR="004C5D08">
        <w:t xml:space="preserve"> developing nations</w:t>
      </w:r>
      <w:r w:rsidR="00DB1733">
        <w:t xml:space="preserve">  </w:t>
      </w:r>
      <w:r w:rsidR="00934A3E">
        <w:t xml:space="preserve"> in order</w:t>
      </w:r>
      <w:r w:rsidR="00DB1733">
        <w:t xml:space="preserve"> to scavenge but </w:t>
      </w:r>
      <w:r w:rsidR="00934A3E">
        <w:t>can be  potentially</w:t>
      </w:r>
      <w:r w:rsidR="00DB1733">
        <w:t xml:space="preserve"> harmful to them and the environment</w:t>
      </w:r>
      <w:r w:rsidR="0085240B">
        <w:t xml:space="preserve"> because of  compounds left in the electronics</w:t>
      </w:r>
      <w:r w:rsidR="00DB1733">
        <w:t>.</w:t>
      </w:r>
      <w:r w:rsidR="00251C21">
        <w:t xml:space="preserve"> Another portion consists of</w:t>
      </w:r>
      <w:r w:rsidR="0085240B">
        <w:t xml:space="preserve"> </w:t>
      </w:r>
      <w:r w:rsidR="00251C21">
        <w:t xml:space="preserve">the effects of </w:t>
      </w:r>
      <w:r w:rsidR="0085240B">
        <w:t>exporting the e-waste</w:t>
      </w:r>
      <w:r w:rsidR="00251C21">
        <w:t>, which</w:t>
      </w:r>
      <w:r w:rsidR="0085240B">
        <w:t xml:space="preserve"> causes the U.S. </w:t>
      </w:r>
      <w:r w:rsidR="00251C21">
        <w:t xml:space="preserve">to lose economic </w:t>
      </w:r>
      <w:r w:rsidR="00251C21">
        <w:lastRenderedPageBreak/>
        <w:t xml:space="preserve">opportunity, meaning loss of employment and also the ability to reuse and remanufacture items at the end of their life. </w:t>
      </w:r>
      <w:r w:rsidR="00403BA2">
        <w:t>T</w:t>
      </w:r>
      <w:r w:rsidR="008730CF">
        <w:t xml:space="preserve">here </w:t>
      </w:r>
      <w:r w:rsidR="006D66A7">
        <w:t xml:space="preserve">are </w:t>
      </w:r>
      <w:r w:rsidR="008730CF">
        <w:t xml:space="preserve">many things in the recent decade or so that have come about to </w:t>
      </w:r>
      <w:r w:rsidR="00B64B74">
        <w:t xml:space="preserve">protect our environment </w:t>
      </w:r>
      <w:r w:rsidR="00150712">
        <w:t>that involves recycling</w:t>
      </w:r>
      <w:r w:rsidR="00F0238F">
        <w:t xml:space="preserve"> in the U.S.</w:t>
      </w:r>
      <w:r w:rsidR="00934A3E">
        <w:t>--</w:t>
      </w:r>
      <w:r w:rsidR="00150712">
        <w:t>e-wastes in particular</w:t>
      </w:r>
      <w:r w:rsidR="00934A3E">
        <w:t>--</w:t>
      </w:r>
      <w:r w:rsidR="00F0238F">
        <w:t xml:space="preserve">while </w:t>
      </w:r>
      <w:r w:rsidR="00837E1C">
        <w:t xml:space="preserve">also </w:t>
      </w:r>
      <w:r w:rsidR="00F0238F">
        <w:t>creating jobs for Americans</w:t>
      </w:r>
      <w:r w:rsidR="00150712">
        <w:t>.</w:t>
      </w:r>
      <w:r w:rsidR="00F9405A">
        <w:br w:type="page"/>
      </w:r>
    </w:p>
    <w:p w:rsidR="00842D67" w:rsidRDefault="00F9405A" w:rsidP="00F9405A">
      <w:pPr>
        <w:pStyle w:val="Title"/>
        <w:rPr>
          <w:sz w:val="40"/>
          <w:szCs w:val="40"/>
        </w:rPr>
      </w:pPr>
      <w:r w:rsidRPr="00F9405A">
        <w:rPr>
          <w:sz w:val="40"/>
          <w:szCs w:val="40"/>
        </w:rPr>
        <w:lastRenderedPageBreak/>
        <w:t>Works Cited</w:t>
      </w:r>
    </w:p>
    <w:p w:rsidR="00E95D31" w:rsidRDefault="00E95D31" w:rsidP="00E95D31">
      <w:pPr>
        <w:ind w:left="720" w:hanging="720"/>
        <w:sectPr w:rsidR="00E95D31" w:rsidSect="00483CC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465E4" w:rsidRDefault="00B465E4" w:rsidP="00E95D31">
      <w:pPr>
        <w:ind w:left="720" w:hanging="720"/>
      </w:pPr>
      <w:r w:rsidRPr="00B465E4">
        <w:lastRenderedPageBreak/>
        <w:t>Anwesha, Anwesha, and Kunal Sinha. "Electronic Waste Management In India: A Stakeholder's Perspective." </w:t>
      </w:r>
      <w:r w:rsidRPr="00B465E4">
        <w:rPr>
          <w:i/>
          <w:iCs/>
        </w:rPr>
        <w:t>Electronic Green Journal</w:t>
      </w:r>
      <w:r w:rsidRPr="00B465E4">
        <w:t> 1.36 (2013): 1-21. </w:t>
      </w:r>
      <w:r w:rsidRPr="00B465E4">
        <w:rPr>
          <w:i/>
          <w:iCs/>
        </w:rPr>
        <w:t>Academic Search Premier</w:t>
      </w:r>
      <w:r w:rsidRPr="00B465E4">
        <w:t>. Web. 7 July 2014.</w:t>
      </w:r>
    </w:p>
    <w:p w:rsidR="0060775C" w:rsidRDefault="0060775C" w:rsidP="00E95D31">
      <w:pPr>
        <w:ind w:left="720" w:hanging="720"/>
      </w:pPr>
      <w:r w:rsidRPr="0060775C">
        <w:t>Johnson, Tim. "Prospectors: The Next Generation." </w:t>
      </w:r>
      <w:r w:rsidRPr="0060775C">
        <w:rPr>
          <w:i/>
          <w:iCs/>
        </w:rPr>
        <w:t>TCE: The Chemical Engineer</w:t>
      </w:r>
      <w:r w:rsidRPr="0060775C">
        <w:t> 874 (2014): 28-31. </w:t>
      </w:r>
      <w:r w:rsidRPr="0060775C">
        <w:rPr>
          <w:i/>
          <w:iCs/>
        </w:rPr>
        <w:t>Academic Search Premier</w:t>
      </w:r>
      <w:r w:rsidRPr="0060775C">
        <w:t>. Web. 7 July 2014.</w:t>
      </w:r>
    </w:p>
    <w:p w:rsidR="007F0EDE" w:rsidRDefault="007F0EDE" w:rsidP="00E95D31">
      <w:pPr>
        <w:ind w:left="720" w:hanging="720"/>
      </w:pPr>
      <w:r w:rsidRPr="007F0EDE">
        <w:t>Leigh, Nancey Green, Taelim Choi, and Nathanael Z. Hoelzel. "New Insights Into Electronic Waste Recycling In Metropolitan Areas." </w:t>
      </w:r>
      <w:r w:rsidRPr="007F0EDE">
        <w:rPr>
          <w:i/>
          <w:iCs/>
        </w:rPr>
        <w:t>Journal Of Industrial Ecology</w:t>
      </w:r>
      <w:r w:rsidRPr="007F0EDE">
        <w:t> 16.6 (2012): 940-950. </w:t>
      </w:r>
      <w:r w:rsidRPr="007F0EDE">
        <w:rPr>
          <w:i/>
          <w:iCs/>
        </w:rPr>
        <w:t>Academic Search Premier</w:t>
      </w:r>
      <w:r w:rsidRPr="007F0EDE">
        <w:t>. Web. 6 July 2014.</w:t>
      </w:r>
    </w:p>
    <w:p w:rsidR="00F9405A" w:rsidRDefault="00E95D31" w:rsidP="00E95D31">
      <w:pPr>
        <w:ind w:left="720" w:hanging="720"/>
      </w:pPr>
      <w:r w:rsidRPr="00E95D31">
        <w:t>Schaffhauser, Dian. "The Dirt On E-Waste." </w:t>
      </w:r>
      <w:r w:rsidRPr="00E95D31">
        <w:rPr>
          <w:i/>
          <w:iCs/>
        </w:rPr>
        <w:t>T H E Journal</w:t>
      </w:r>
      <w:r w:rsidRPr="00E95D31">
        <w:t> 36.3 (2009): 20-25. </w:t>
      </w:r>
      <w:r w:rsidRPr="00E95D31">
        <w:rPr>
          <w:i/>
          <w:iCs/>
        </w:rPr>
        <w:t>Academic Search Premier</w:t>
      </w:r>
      <w:r w:rsidRPr="00E95D31">
        <w:t>. Web. 6 July 2014.</w:t>
      </w:r>
    </w:p>
    <w:p w:rsidR="00132DF5" w:rsidRPr="00132DF5" w:rsidRDefault="00132DF5" w:rsidP="00132DF5">
      <w:pPr>
        <w:ind w:left="720" w:hanging="720"/>
      </w:pPr>
      <w:r w:rsidRPr="00132DF5">
        <w:rPr>
          <w:u w:val="single"/>
        </w:rPr>
        <w:t>Statistics on the Management of Used and End-of-Life Electronics</w:t>
      </w:r>
      <w:r w:rsidRPr="00132DF5">
        <w:t>. 14 November 2012.</w:t>
      </w:r>
      <w:r w:rsidR="002F3889">
        <w:t>u.S. Environmental Protection Agency. 06 June 2014 &lt;</w:t>
      </w:r>
      <w:r w:rsidR="002F3889" w:rsidRPr="002F3889">
        <w:t xml:space="preserve"> http://www.epa.gov/osw/conserve/materials/ecycling/manage.htm</w:t>
      </w:r>
      <w:r w:rsidRPr="00132DF5">
        <w:t>&gt;.</w:t>
      </w:r>
    </w:p>
    <w:p w:rsidR="00132DF5" w:rsidRPr="00F9405A" w:rsidRDefault="00132DF5" w:rsidP="00E95D31">
      <w:pPr>
        <w:ind w:left="720" w:hanging="720"/>
      </w:pPr>
    </w:p>
    <w:sectPr w:rsidR="00132DF5" w:rsidRPr="00F9405A" w:rsidSect="00E95D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95" w:rsidRDefault="00BA1295" w:rsidP="005B215E">
      <w:pPr>
        <w:spacing w:after="0" w:line="240" w:lineRule="auto"/>
      </w:pPr>
      <w:r>
        <w:separator/>
      </w:r>
    </w:p>
  </w:endnote>
  <w:endnote w:type="continuationSeparator" w:id="0">
    <w:p w:rsidR="00BA1295" w:rsidRDefault="00BA1295" w:rsidP="005B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95" w:rsidRDefault="00BA1295" w:rsidP="005B215E">
      <w:pPr>
        <w:spacing w:after="0" w:line="240" w:lineRule="auto"/>
      </w:pPr>
      <w:r>
        <w:separator/>
      </w:r>
    </w:p>
  </w:footnote>
  <w:footnote w:type="continuationSeparator" w:id="0">
    <w:p w:rsidR="00BA1295" w:rsidRDefault="00BA1295" w:rsidP="005B2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4E"/>
    <w:rsid w:val="00011053"/>
    <w:rsid w:val="000351ED"/>
    <w:rsid w:val="00065B74"/>
    <w:rsid w:val="00070852"/>
    <w:rsid w:val="000A7EAD"/>
    <w:rsid w:val="000B3B1E"/>
    <w:rsid w:val="000F3F57"/>
    <w:rsid w:val="00107B7B"/>
    <w:rsid w:val="0013253F"/>
    <w:rsid w:val="00132DF5"/>
    <w:rsid w:val="00133E85"/>
    <w:rsid w:val="00142170"/>
    <w:rsid w:val="00144195"/>
    <w:rsid w:val="00150712"/>
    <w:rsid w:val="00173440"/>
    <w:rsid w:val="00173554"/>
    <w:rsid w:val="00175F49"/>
    <w:rsid w:val="00177E72"/>
    <w:rsid w:val="0019278E"/>
    <w:rsid w:val="001A500F"/>
    <w:rsid w:val="001C507A"/>
    <w:rsid w:val="001F4E7E"/>
    <w:rsid w:val="00207C63"/>
    <w:rsid w:val="00234611"/>
    <w:rsid w:val="00251C21"/>
    <w:rsid w:val="00266840"/>
    <w:rsid w:val="00274C23"/>
    <w:rsid w:val="00282C04"/>
    <w:rsid w:val="00290A5C"/>
    <w:rsid w:val="002E4167"/>
    <w:rsid w:val="002F3889"/>
    <w:rsid w:val="00310368"/>
    <w:rsid w:val="00335647"/>
    <w:rsid w:val="003773FF"/>
    <w:rsid w:val="00382C41"/>
    <w:rsid w:val="0038560B"/>
    <w:rsid w:val="003B0843"/>
    <w:rsid w:val="003C6770"/>
    <w:rsid w:val="00401069"/>
    <w:rsid w:val="00403BA2"/>
    <w:rsid w:val="00414646"/>
    <w:rsid w:val="00433CF8"/>
    <w:rsid w:val="0044041A"/>
    <w:rsid w:val="00480F73"/>
    <w:rsid w:val="004821CA"/>
    <w:rsid w:val="00483CC7"/>
    <w:rsid w:val="004C5D08"/>
    <w:rsid w:val="004F1CBA"/>
    <w:rsid w:val="004F7390"/>
    <w:rsid w:val="00511A86"/>
    <w:rsid w:val="00512882"/>
    <w:rsid w:val="0055526D"/>
    <w:rsid w:val="005558FA"/>
    <w:rsid w:val="005619DC"/>
    <w:rsid w:val="0056411D"/>
    <w:rsid w:val="00570D95"/>
    <w:rsid w:val="00596673"/>
    <w:rsid w:val="00597E9B"/>
    <w:rsid w:val="005A382B"/>
    <w:rsid w:val="005B215E"/>
    <w:rsid w:val="005B529D"/>
    <w:rsid w:val="005C0993"/>
    <w:rsid w:val="005E5113"/>
    <w:rsid w:val="005E59F7"/>
    <w:rsid w:val="005F478F"/>
    <w:rsid w:val="006030DF"/>
    <w:rsid w:val="0060775C"/>
    <w:rsid w:val="00636276"/>
    <w:rsid w:val="00651D3F"/>
    <w:rsid w:val="00654D3F"/>
    <w:rsid w:val="00682A20"/>
    <w:rsid w:val="00682F1B"/>
    <w:rsid w:val="006934D9"/>
    <w:rsid w:val="006969C6"/>
    <w:rsid w:val="006A05D2"/>
    <w:rsid w:val="006A3461"/>
    <w:rsid w:val="006B2C6C"/>
    <w:rsid w:val="006D66A7"/>
    <w:rsid w:val="006E5E31"/>
    <w:rsid w:val="00744277"/>
    <w:rsid w:val="00745A13"/>
    <w:rsid w:val="00774943"/>
    <w:rsid w:val="007C6233"/>
    <w:rsid w:val="007F0EDE"/>
    <w:rsid w:val="007F75D4"/>
    <w:rsid w:val="00822A4A"/>
    <w:rsid w:val="00837E1C"/>
    <w:rsid w:val="00842D67"/>
    <w:rsid w:val="00842F4E"/>
    <w:rsid w:val="0085240B"/>
    <w:rsid w:val="008730CF"/>
    <w:rsid w:val="008769EE"/>
    <w:rsid w:val="008816DA"/>
    <w:rsid w:val="00885E1D"/>
    <w:rsid w:val="0088644B"/>
    <w:rsid w:val="008A5722"/>
    <w:rsid w:val="008C47BE"/>
    <w:rsid w:val="008D67FA"/>
    <w:rsid w:val="008E76E0"/>
    <w:rsid w:val="00910C1A"/>
    <w:rsid w:val="009248DE"/>
    <w:rsid w:val="00934A3E"/>
    <w:rsid w:val="00974A7C"/>
    <w:rsid w:val="009D0A19"/>
    <w:rsid w:val="009E183D"/>
    <w:rsid w:val="009E1E45"/>
    <w:rsid w:val="00A00953"/>
    <w:rsid w:val="00A1764A"/>
    <w:rsid w:val="00A223F9"/>
    <w:rsid w:val="00A41832"/>
    <w:rsid w:val="00A43D11"/>
    <w:rsid w:val="00A441FF"/>
    <w:rsid w:val="00A5039F"/>
    <w:rsid w:val="00A50630"/>
    <w:rsid w:val="00A54552"/>
    <w:rsid w:val="00A57F1D"/>
    <w:rsid w:val="00A70E94"/>
    <w:rsid w:val="00A74703"/>
    <w:rsid w:val="00A85507"/>
    <w:rsid w:val="00AA3977"/>
    <w:rsid w:val="00AA57B6"/>
    <w:rsid w:val="00AA6B7D"/>
    <w:rsid w:val="00AD5D02"/>
    <w:rsid w:val="00AE1740"/>
    <w:rsid w:val="00AE59AE"/>
    <w:rsid w:val="00AF17A2"/>
    <w:rsid w:val="00B32C76"/>
    <w:rsid w:val="00B34E9E"/>
    <w:rsid w:val="00B43C42"/>
    <w:rsid w:val="00B465E4"/>
    <w:rsid w:val="00B55658"/>
    <w:rsid w:val="00B6044E"/>
    <w:rsid w:val="00B64B74"/>
    <w:rsid w:val="00B868C2"/>
    <w:rsid w:val="00BA1295"/>
    <w:rsid w:val="00BB3F63"/>
    <w:rsid w:val="00BB7F78"/>
    <w:rsid w:val="00BC3FD1"/>
    <w:rsid w:val="00BD02FD"/>
    <w:rsid w:val="00BD0E3E"/>
    <w:rsid w:val="00BE05FE"/>
    <w:rsid w:val="00BF13D0"/>
    <w:rsid w:val="00C11598"/>
    <w:rsid w:val="00C863B5"/>
    <w:rsid w:val="00CA19F7"/>
    <w:rsid w:val="00CB1AAF"/>
    <w:rsid w:val="00CF3D0D"/>
    <w:rsid w:val="00CF47D3"/>
    <w:rsid w:val="00D06391"/>
    <w:rsid w:val="00D223E2"/>
    <w:rsid w:val="00D44117"/>
    <w:rsid w:val="00D905DE"/>
    <w:rsid w:val="00D91867"/>
    <w:rsid w:val="00D97D84"/>
    <w:rsid w:val="00DB05F9"/>
    <w:rsid w:val="00DB1733"/>
    <w:rsid w:val="00DC56FA"/>
    <w:rsid w:val="00DE1892"/>
    <w:rsid w:val="00DF2031"/>
    <w:rsid w:val="00DF355D"/>
    <w:rsid w:val="00E03C9D"/>
    <w:rsid w:val="00E20654"/>
    <w:rsid w:val="00E211AC"/>
    <w:rsid w:val="00E53ECF"/>
    <w:rsid w:val="00E66F67"/>
    <w:rsid w:val="00E95D31"/>
    <w:rsid w:val="00E976C0"/>
    <w:rsid w:val="00EA14E9"/>
    <w:rsid w:val="00EA72D3"/>
    <w:rsid w:val="00EC0BE8"/>
    <w:rsid w:val="00EF651F"/>
    <w:rsid w:val="00F0238F"/>
    <w:rsid w:val="00F10B28"/>
    <w:rsid w:val="00F232C5"/>
    <w:rsid w:val="00F27F61"/>
    <w:rsid w:val="00F34A5F"/>
    <w:rsid w:val="00F354D3"/>
    <w:rsid w:val="00F5190F"/>
    <w:rsid w:val="00F711F0"/>
    <w:rsid w:val="00F7607D"/>
    <w:rsid w:val="00F8328F"/>
    <w:rsid w:val="00F90012"/>
    <w:rsid w:val="00F9405A"/>
    <w:rsid w:val="00FC7541"/>
    <w:rsid w:val="00FD18D1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3D11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3D11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2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5E"/>
  </w:style>
  <w:style w:type="paragraph" w:styleId="Footer">
    <w:name w:val="footer"/>
    <w:basedOn w:val="Normal"/>
    <w:link w:val="FooterChar"/>
    <w:uiPriority w:val="99"/>
    <w:unhideWhenUsed/>
    <w:rsid w:val="005B2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5E"/>
  </w:style>
  <w:style w:type="character" w:styleId="CommentReference">
    <w:name w:val="annotation reference"/>
    <w:basedOn w:val="DefaultParagraphFont"/>
    <w:uiPriority w:val="99"/>
    <w:semiHidden/>
    <w:unhideWhenUsed/>
    <w:rsid w:val="00377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1A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3D11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3D11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2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5E"/>
  </w:style>
  <w:style w:type="paragraph" w:styleId="Footer">
    <w:name w:val="footer"/>
    <w:basedOn w:val="Normal"/>
    <w:link w:val="FooterChar"/>
    <w:uiPriority w:val="99"/>
    <w:unhideWhenUsed/>
    <w:rsid w:val="005B2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5E"/>
  </w:style>
  <w:style w:type="character" w:styleId="CommentReference">
    <w:name w:val="annotation reference"/>
    <w:basedOn w:val="DefaultParagraphFont"/>
    <w:uiPriority w:val="99"/>
    <w:semiHidden/>
    <w:unhideWhenUsed/>
    <w:rsid w:val="00377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1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2"/>
    </mc:Choice>
    <mc:Fallback>
      <c:style val="2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Management of Used and End-Of-Life Electronics in 2009. Figure 1.1.</a:t>
            </a:r>
          </a:p>
        </c:rich>
      </c:tx>
      <c:layout>
        <c:manualLayout>
          <c:xMode val="edge"/>
          <c:yMode val="edge"/>
          <c:x val="0.1519615659015191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9950124688279301E-2"/>
          <c:y val="0.55785574271570482"/>
          <c:w val="0.9268495428096426"/>
          <c:h val="0.36409947174324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Ready for End-of-Life Management
(million of units)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invertIfNegative val="0"/>
          <c:cat>
            <c:strRef>
              <c:f>Sheet1!$A$2:$A$4</c:f>
              <c:strCache>
                <c:ptCount val="3"/>
                <c:pt idx="0">
                  <c:v>Computers</c:v>
                </c:pt>
                <c:pt idx="1">
                  <c:v>Televisions</c:v>
                </c:pt>
                <c:pt idx="2">
                  <c:v>Mobile Devices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47.4</c:v>
                </c:pt>
                <c:pt idx="1">
                  <c:v>27.2</c:v>
                </c:pt>
                <c:pt idx="2">
                  <c:v>141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Disposed
(million of units)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cat>
            <c:strRef>
              <c:f>Sheet1!$A$2:$A$4</c:f>
              <c:strCache>
                <c:ptCount val="3"/>
                <c:pt idx="0">
                  <c:v>Computers</c:v>
                </c:pt>
                <c:pt idx="1">
                  <c:v>Televisions</c:v>
                </c:pt>
                <c:pt idx="2">
                  <c:v>Mobile Devices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29.4</c:v>
                </c:pt>
                <c:pt idx="1">
                  <c:v>22.7</c:v>
                </c:pt>
                <c:pt idx="2">
                  <c:v>129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Collected for Recycling
(million of units)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Sheet1!$A$2:$A$4</c:f>
              <c:strCache>
                <c:ptCount val="3"/>
                <c:pt idx="0">
                  <c:v>Computers</c:v>
                </c:pt>
                <c:pt idx="1">
                  <c:v>Televisions</c:v>
                </c:pt>
                <c:pt idx="2">
                  <c:v>Mobile Devices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18</c:v>
                </c:pt>
                <c:pt idx="1">
                  <c:v>4.5999999999999996</c:v>
                </c:pt>
                <c:pt idx="2">
                  <c:v>11.7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Rate of Collection for Recycling
(by weight)
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Sheet1!$A$2:$A$4</c:f>
              <c:strCache>
                <c:ptCount val="3"/>
                <c:pt idx="0">
                  <c:v>Computers</c:v>
                </c:pt>
                <c:pt idx="1">
                  <c:v>Televisions</c:v>
                </c:pt>
                <c:pt idx="2">
                  <c:v>Mobile Devices</c:v>
                </c:pt>
              </c:strCache>
            </c:strRef>
          </c:cat>
          <c:val>
            <c:numRef>
              <c:f>Sheet1!$E$2:$E$4</c:f>
              <c:numCache>
                <c:formatCode>0%</c:formatCode>
                <c:ptCount val="3"/>
                <c:pt idx="0">
                  <c:v>0.38</c:v>
                </c:pt>
                <c:pt idx="1">
                  <c:v>0.17</c:v>
                </c:pt>
                <c:pt idx="2">
                  <c:v>0.08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2820224"/>
        <c:axId val="85332736"/>
      </c:barChart>
      <c:catAx>
        <c:axId val="32820224"/>
        <c:scaling>
          <c:orientation val="minMax"/>
        </c:scaling>
        <c:delete val="0"/>
        <c:axPos val="b"/>
        <c:majorTickMark val="none"/>
        <c:minorTickMark val="none"/>
        <c:tickLblPos val="nextTo"/>
        <c:crossAx val="85332736"/>
        <c:crosses val="autoZero"/>
        <c:auto val="1"/>
        <c:lblAlgn val="ctr"/>
        <c:lblOffset val="100"/>
        <c:noMultiLvlLbl val="0"/>
      </c:catAx>
      <c:valAx>
        <c:axId val="853327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282022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1.3531525516916368E-2"/>
          <c:y val="0.27531645569620256"/>
          <c:w val="0.67036005786059782"/>
          <c:h val="0.42388949798996645"/>
        </c:manualLayout>
      </c:layout>
      <c:overlay val="0"/>
    </c:legend>
    <c:plotVisOnly val="1"/>
    <c:dispBlanksAs val="gap"/>
    <c:showDLblsOverMax val="0"/>
  </c:chart>
  <c:spPr>
    <a:solidFill>
      <a:schemeClr val="lt1"/>
    </a:solidFill>
    <a:ln w="38100" cap="flat" cmpd="sng" algn="ctr">
      <a:solidFill>
        <a:schemeClr val="accent1"/>
      </a:solidFill>
      <a:prstDash val="solid"/>
    </a:ln>
    <a:effectLst>
      <a:outerShdw blurRad="50800" dist="38100" algn="l" rotWithShape="0">
        <a:prstClr val="black">
          <a:alpha val="40000"/>
        </a:prstClr>
      </a:outerShdw>
    </a:effectLst>
    <a:scene3d>
      <a:camera prst="orthographicFront"/>
      <a:lightRig rig="threePt" dir="t"/>
    </a:scene3d>
    <a:sp3d>
      <a:bevelT w="165100" prst="coolSlant"/>
    </a:sp3d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0C53A2E-1555-48A3-83EC-B0E49449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Devin</dc:creator>
  <cp:lastModifiedBy>Devin Hancock</cp:lastModifiedBy>
  <cp:revision>3</cp:revision>
  <dcterms:created xsi:type="dcterms:W3CDTF">2014-08-07T21:35:00Z</dcterms:created>
  <dcterms:modified xsi:type="dcterms:W3CDTF">2014-08-07T22:18:00Z</dcterms:modified>
</cp:coreProperties>
</file>